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1CE2" w14:textId="691A9611" w:rsidR="00E05BAF" w:rsidRPr="006F2872" w:rsidRDefault="00FC6B7D" w:rsidP="006F2872">
      <w:pPr>
        <w:pStyle w:val="BodyText"/>
        <w:spacing w:line="48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6F28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59840DB" wp14:editId="1B6E14A4">
                <wp:simplePos x="0" y="0"/>
                <wp:positionH relativeFrom="page">
                  <wp:posOffset>7683500</wp:posOffset>
                </wp:positionH>
                <wp:positionV relativeFrom="page">
                  <wp:posOffset>643255</wp:posOffset>
                </wp:positionV>
                <wp:extent cx="175895" cy="3987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398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E40CD" w14:textId="77777777" w:rsidR="005111EB" w:rsidRDefault="005111EB" w:rsidP="006909B5">
                            <w:pPr>
                              <w:spacing w:before="25"/>
                              <w:rPr>
                                <w:rFonts w:asci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84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pt;margin-top:50.65pt;width:13.85pt;height:31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" filled="f" stroked="f">
                <v:textbox style="layout-flow:vertical" inset="0,0,0,0">
                  <w:txbxContent>
                    <w:p w14:paraId="772E40CD" w14:textId="77777777" w:rsidR="005111EB" w:rsidRDefault="005111EB" w:rsidP="006909B5">
                      <w:pPr>
                        <w:spacing w:before="25"/>
                        <w:rPr>
                          <w:rFonts w:ascii="Arial Narrow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E78540" w14:textId="77777777" w:rsidR="00FC6B7D" w:rsidRPr="006F2872" w:rsidRDefault="006A3A54" w:rsidP="006F2872">
      <w:pPr>
        <w:pStyle w:val="ListParagraph"/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F2872">
        <w:rPr>
          <w:rFonts w:ascii="Times New Roman" w:hAnsi="Times New Roman" w:cs="Times New Roman"/>
          <w:b/>
          <w:color w:val="231F20"/>
          <w:sz w:val="24"/>
          <w:szCs w:val="24"/>
        </w:rPr>
        <w:t>EBP Question</w:t>
      </w:r>
      <w:r w:rsidR="00FC6B7D" w:rsidRPr="006F287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E05BAF" w:rsidRPr="006F2872">
        <w:rPr>
          <w:rFonts w:ascii="Times New Roman" w:hAnsi="Times New Roman" w:cs="Times New Roman"/>
          <w:b/>
          <w:sz w:val="24"/>
          <w:szCs w:val="24"/>
        </w:rPr>
        <w:t>(10 points)</w:t>
      </w:r>
      <w:r w:rsidRPr="006F2872">
        <w:rPr>
          <w:rFonts w:ascii="Times New Roman" w:hAnsi="Times New Roman" w:cs="Times New Roman"/>
          <w:b/>
          <w:sz w:val="24"/>
          <w:szCs w:val="24"/>
        </w:rPr>
        <w:t>:</w:t>
      </w:r>
      <w:r w:rsidR="00FC6B7D" w:rsidRPr="006F287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FC6B7D" w:rsidRPr="006F2872">
        <w:rPr>
          <w:rFonts w:ascii="Times New Roman" w:hAnsi="Times New Roman" w:cs="Times New Roman"/>
          <w:b/>
          <w:bCs/>
          <w:sz w:val="24"/>
          <w:szCs w:val="24"/>
        </w:rPr>
        <w:t>In intensive care patients, how does preventive silicone foam dressing compare to individual patients receiving standards of care affect the development of pressure ulcers?</w:t>
      </w:r>
    </w:p>
    <w:p w14:paraId="00C72A38" w14:textId="38265D40" w:rsidR="005111EB" w:rsidRPr="006F2872" w:rsidRDefault="006A3A54" w:rsidP="006F2872">
      <w:pPr>
        <w:spacing w:before="170" w:line="480" w:lineRule="auto"/>
        <w:ind w:left="121" w:right="7560"/>
        <w:rPr>
          <w:rFonts w:ascii="Times New Roman" w:hAnsi="Times New Roman" w:cs="Times New Roman"/>
          <w:b/>
          <w:sz w:val="24"/>
          <w:szCs w:val="24"/>
        </w:rPr>
      </w:pPr>
      <w:r w:rsidRPr="006F2872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Date:</w:t>
      </w:r>
      <w:r w:rsidR="00FC6B7D" w:rsidRPr="006F2872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 February 20, 2021</w:t>
      </w:r>
    </w:p>
    <w:p w14:paraId="73AB5F5D" w14:textId="77777777" w:rsidR="005111EB" w:rsidRPr="006F2872" w:rsidRDefault="005111EB" w:rsidP="006F2872">
      <w:pPr>
        <w:pStyle w:val="BodyText"/>
        <w:spacing w:before="2"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8" w:type="dxa"/>
        <w:tblInd w:w="12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250"/>
        <w:gridCol w:w="1022"/>
        <w:gridCol w:w="1752"/>
        <w:gridCol w:w="2600"/>
        <w:gridCol w:w="720"/>
        <w:gridCol w:w="1440"/>
        <w:gridCol w:w="1440"/>
      </w:tblGrid>
      <w:tr w:rsidR="005111EB" w:rsidRPr="006F2872" w14:paraId="2DBA0E9B" w14:textId="77777777" w:rsidTr="00996D75">
        <w:trPr>
          <w:trHeight w:val="920"/>
        </w:trPr>
        <w:tc>
          <w:tcPr>
            <w:tcW w:w="694" w:type="dxa"/>
            <w:shd w:val="clear" w:color="auto" w:fill="D1D3D4"/>
          </w:tcPr>
          <w:p w14:paraId="26B6C435" w14:textId="77777777" w:rsidR="005111EB" w:rsidRPr="006F2872" w:rsidRDefault="006A3A54" w:rsidP="006F2872">
            <w:pPr>
              <w:pStyle w:val="TableParagraph"/>
              <w:spacing w:before="155" w:line="276" w:lineRule="auto"/>
              <w:ind w:righ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color w:val="231F20"/>
                <w:w w:val="105"/>
              </w:rPr>
              <w:t xml:space="preserve">Article </w:t>
            </w:r>
            <w:r w:rsidRPr="006F2872">
              <w:rPr>
                <w:rFonts w:ascii="Times New Roman" w:hAnsi="Times New Roman" w:cs="Times New Roman"/>
                <w:b/>
                <w:color w:val="231F20"/>
              </w:rPr>
              <w:t>Number</w:t>
            </w:r>
          </w:p>
        </w:tc>
        <w:tc>
          <w:tcPr>
            <w:tcW w:w="1250" w:type="dxa"/>
            <w:shd w:val="clear" w:color="auto" w:fill="D1D3D4"/>
          </w:tcPr>
          <w:p w14:paraId="1127EAB9" w14:textId="08D549CF" w:rsidR="005111EB" w:rsidRPr="006F2872" w:rsidRDefault="006A5363" w:rsidP="006F2872">
            <w:pPr>
              <w:pStyle w:val="TableParagraph"/>
              <w:spacing w:before="176" w:line="360" w:lineRule="auto"/>
              <w:rPr>
                <w:rFonts w:ascii="Times New Roman" w:hAnsi="Times New Roman" w:cs="Times New Roman"/>
                <w:b/>
              </w:rPr>
            </w:pPr>
            <w:r w:rsidRPr="006F2872">
              <w:rPr>
                <w:rFonts w:ascii="Times New Roman" w:hAnsi="Times New Roman" w:cs="Times New Roman"/>
                <w:b/>
              </w:rPr>
              <w:t>Author and</w:t>
            </w:r>
            <w:r w:rsidR="006A3A54" w:rsidRPr="006F2872">
              <w:rPr>
                <w:rFonts w:ascii="Times New Roman" w:hAnsi="Times New Roman" w:cs="Times New Roman"/>
                <w:b/>
              </w:rPr>
              <w:t xml:space="preserve"> Date</w:t>
            </w:r>
          </w:p>
          <w:p w14:paraId="43648802" w14:textId="77777777" w:rsidR="00850276" w:rsidRPr="006F2872" w:rsidRDefault="00850276" w:rsidP="006F2872">
            <w:pPr>
              <w:pStyle w:val="TableParagraph"/>
              <w:spacing w:before="176" w:line="360" w:lineRule="auto"/>
              <w:rPr>
                <w:rFonts w:ascii="Times New Roman" w:hAnsi="Times New Roman" w:cs="Times New Roman"/>
                <w:b/>
              </w:rPr>
            </w:pPr>
            <w:r w:rsidRPr="006F2872">
              <w:rPr>
                <w:rFonts w:ascii="Times New Roman" w:hAnsi="Times New Roman" w:cs="Times New Roman"/>
                <w:b/>
              </w:rPr>
              <w:t>Last name of first author and year-see exemplar</w:t>
            </w:r>
          </w:p>
          <w:p w14:paraId="02C2958A" w14:textId="77777777" w:rsidR="00E05BAF" w:rsidRPr="006F2872" w:rsidRDefault="00E05BAF" w:rsidP="006F2872">
            <w:pPr>
              <w:pStyle w:val="TableParagraph"/>
              <w:spacing w:before="176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</w:rPr>
              <w:t>(5 points)</w:t>
            </w:r>
          </w:p>
        </w:tc>
        <w:tc>
          <w:tcPr>
            <w:tcW w:w="1022" w:type="dxa"/>
            <w:shd w:val="clear" w:color="auto" w:fill="D1D3D4"/>
          </w:tcPr>
          <w:p w14:paraId="470A9F90" w14:textId="3007F996" w:rsidR="00E05BAF" w:rsidRPr="006F2872" w:rsidRDefault="006A3A54" w:rsidP="006F2872">
            <w:pPr>
              <w:pStyle w:val="TableParagraph"/>
              <w:spacing w:before="176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sz w:val="24"/>
                <w:szCs w:val="24"/>
              </w:rPr>
              <w:t>Evidence Type</w:t>
            </w:r>
            <w:r w:rsidR="00FC6B7D" w:rsidRPr="006F2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="00FC6B7D" w:rsidRPr="006F2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="00E05BAF" w:rsidRPr="006F2872">
              <w:rPr>
                <w:rFonts w:ascii="Times New Roman" w:hAnsi="Times New Roman" w:cs="Times New Roman"/>
                <w:b/>
                <w:sz w:val="24"/>
                <w:szCs w:val="24"/>
              </w:rPr>
              <w:t>10 points)</w:t>
            </w:r>
          </w:p>
        </w:tc>
        <w:tc>
          <w:tcPr>
            <w:tcW w:w="1752" w:type="dxa"/>
            <w:shd w:val="clear" w:color="auto" w:fill="D1D3D4"/>
          </w:tcPr>
          <w:p w14:paraId="50581139" w14:textId="63C97BB1" w:rsidR="005111EB" w:rsidRPr="006F2872" w:rsidRDefault="006A3A54" w:rsidP="006F2872">
            <w:pPr>
              <w:pStyle w:val="TableParagraph"/>
              <w:spacing w:before="155" w:line="360" w:lineRule="auto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Sample, Sample </w:t>
            </w:r>
            <w:r w:rsidR="00FC6B7D" w:rsidRPr="006F287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Size, Setting</w:t>
            </w:r>
          </w:p>
          <w:p w14:paraId="5D998DF3" w14:textId="77777777" w:rsidR="00E05BAF" w:rsidRPr="006F2872" w:rsidRDefault="00E05BAF" w:rsidP="006F2872">
            <w:pPr>
              <w:pStyle w:val="TableParagraph"/>
              <w:spacing w:before="155" w:line="360" w:lineRule="auto"/>
              <w:ind w:left="103" w:righ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(10 points)</w:t>
            </w:r>
          </w:p>
        </w:tc>
        <w:tc>
          <w:tcPr>
            <w:tcW w:w="2600" w:type="dxa"/>
            <w:shd w:val="clear" w:color="auto" w:fill="D1D3D4"/>
          </w:tcPr>
          <w:p w14:paraId="66E77FBD" w14:textId="77777777" w:rsidR="005111EB" w:rsidRPr="006F2872" w:rsidRDefault="006A3A54" w:rsidP="006F2872">
            <w:pPr>
              <w:pStyle w:val="TableParagraph"/>
              <w:spacing w:before="167" w:line="360" w:lineRule="auto"/>
              <w:ind w:left="10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Findings That Help Answer the EBP Question</w:t>
            </w:r>
          </w:p>
          <w:p w14:paraId="5A1C550B" w14:textId="77777777" w:rsidR="00E05BAF" w:rsidRPr="006F2872" w:rsidRDefault="00E05BAF" w:rsidP="006F2872">
            <w:pPr>
              <w:pStyle w:val="TableParagraph"/>
              <w:spacing w:before="167" w:line="360" w:lineRule="auto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sz w:val="24"/>
                <w:szCs w:val="24"/>
              </w:rPr>
              <w:t>(20 points)</w:t>
            </w:r>
          </w:p>
        </w:tc>
        <w:tc>
          <w:tcPr>
            <w:tcW w:w="720" w:type="dxa"/>
            <w:shd w:val="clear" w:color="auto" w:fill="D1D3D4"/>
          </w:tcPr>
          <w:p w14:paraId="2D9B1449" w14:textId="77777777" w:rsidR="005111EB" w:rsidRPr="006F2872" w:rsidRDefault="006A3A54" w:rsidP="006F2872">
            <w:pPr>
              <w:pStyle w:val="TableParagraph"/>
              <w:spacing w:before="155" w:line="360" w:lineRule="auto"/>
              <w:ind w:left="103" w:right="12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F28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Observable </w:t>
            </w:r>
            <w:r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  <w:highlight w:val="yellow"/>
              </w:rPr>
              <w:t>Measures</w:t>
            </w:r>
          </w:p>
        </w:tc>
        <w:tc>
          <w:tcPr>
            <w:tcW w:w="1440" w:type="dxa"/>
            <w:shd w:val="clear" w:color="auto" w:fill="D1D3D4"/>
          </w:tcPr>
          <w:p w14:paraId="6D532F37" w14:textId="57C59D49" w:rsidR="00E05BAF" w:rsidRPr="006F2872" w:rsidRDefault="006A3A54" w:rsidP="006F2872">
            <w:pPr>
              <w:pStyle w:val="TableParagraph"/>
              <w:spacing w:before="176" w:line="48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Limitations</w:t>
            </w:r>
            <w:r w:rsidR="00FC6B7D"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(10 p</w:t>
            </w:r>
            <w:r w:rsidR="00E05BAF"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oints)</w:t>
            </w:r>
          </w:p>
          <w:p w14:paraId="2B4730F7" w14:textId="77777777" w:rsidR="00E05BAF" w:rsidRPr="006F2872" w:rsidRDefault="00E05BAF" w:rsidP="006F2872">
            <w:pPr>
              <w:pStyle w:val="TableParagraph"/>
              <w:spacing w:before="176" w:line="48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1D3D4"/>
          </w:tcPr>
          <w:p w14:paraId="67D33C38" w14:textId="30C64F9C" w:rsidR="00E05BAF" w:rsidRPr="006F2872" w:rsidRDefault="006A3A54" w:rsidP="006F2872">
            <w:pPr>
              <w:pStyle w:val="TableParagraph"/>
              <w:spacing w:before="155" w:line="360" w:lineRule="auto"/>
              <w:ind w:right="107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Evidence Level, Quality</w:t>
            </w:r>
            <w:r w:rsidR="00FC6B7D" w:rsidRPr="006F287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proofErr w:type="gramStart"/>
            <w:r w:rsidR="00FC6B7D" w:rsidRPr="006F287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  </w:t>
            </w:r>
            <w:r w:rsidR="00E05BAF"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</w:t>
            </w:r>
            <w:proofErr w:type="gramEnd"/>
            <w:r w:rsidR="00E05BAF" w:rsidRPr="006F28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20 points)</w:t>
            </w:r>
          </w:p>
        </w:tc>
      </w:tr>
      <w:tr w:rsidR="005111EB" w:rsidRPr="006F2872" w14:paraId="74261E49" w14:textId="77777777" w:rsidTr="00996D75">
        <w:trPr>
          <w:trHeight w:val="880"/>
        </w:trPr>
        <w:tc>
          <w:tcPr>
            <w:tcW w:w="694" w:type="dxa"/>
          </w:tcPr>
          <w:p w14:paraId="55CF171D" w14:textId="77777777" w:rsidR="005111EB" w:rsidRPr="006F2872" w:rsidRDefault="005111EB" w:rsidP="006F2872">
            <w:pPr>
              <w:pStyle w:val="TableParagraph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A654" w14:textId="77777777" w:rsidR="00E05BAF" w:rsidRPr="006F2872" w:rsidRDefault="00E05BAF" w:rsidP="006F2872">
            <w:pPr>
              <w:pStyle w:val="TableParagraph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14:paraId="6E17A27B" w14:textId="77FE5323" w:rsidR="005111EB" w:rsidRPr="006F2872" w:rsidRDefault="006A5363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Lavallée</w:t>
            </w:r>
            <w:proofErr w:type="spellEnd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al. </w:t>
            </w:r>
            <w:r w:rsidR="00E4053A"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2019</w:t>
            </w:r>
            <w:r w:rsidR="00E4053A"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22" w:type="dxa"/>
          </w:tcPr>
          <w:p w14:paraId="1BC12AD8" w14:textId="599EC5F2" w:rsidR="005111EB" w:rsidRPr="006F2872" w:rsidRDefault="006A5363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Mixed method feasibility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study</w:t>
            </w:r>
          </w:p>
        </w:tc>
        <w:tc>
          <w:tcPr>
            <w:tcW w:w="1752" w:type="dxa"/>
          </w:tcPr>
          <w:p w14:paraId="5C955225" w14:textId="4522ACA4" w:rsidR="005111EB" w:rsidRPr="006F2872" w:rsidRDefault="00B84340" w:rsidP="006F2872">
            <w:pPr>
              <w:pStyle w:val="TableParagraph"/>
              <w:tabs>
                <w:tab w:val="left" w:pos="0"/>
              </w:tabs>
              <w:spacing w:line="480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sample in research </w:t>
            </w:r>
            <w:r w:rsidR="000E46D5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is a group of objects, </w:t>
            </w:r>
            <w:r w:rsidR="000E46D5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46D5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or items selected from a population for measurement. </w:t>
            </w:r>
            <w:r w:rsidR="009D36A9" w:rsidRPr="006F2872">
              <w:rPr>
                <w:rFonts w:ascii="Times New Roman" w:hAnsi="Times New Roman" w:cs="Times New Roman"/>
                <w:sz w:val="24"/>
                <w:szCs w:val="24"/>
              </w:rPr>
              <w:t>The sample for the study w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D36A9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D36A9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nursing home that provided care for people are risk of developing pressure ulcers. </w:t>
            </w:r>
            <w:r w:rsidR="00DE0C7B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The study does not define a sample size. </w:t>
            </w:r>
            <w:r w:rsidR="00D028A1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028A1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study is conducted in a nursing home setting. </w:t>
            </w:r>
          </w:p>
        </w:tc>
        <w:tc>
          <w:tcPr>
            <w:tcW w:w="2600" w:type="dxa"/>
          </w:tcPr>
          <w:p w14:paraId="677D3FB0" w14:textId="60B2182D" w:rsidR="001C3AFC" w:rsidRPr="006F2872" w:rsidRDefault="00DB678A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study findings show that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care bundle is an acceptable tool that can be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used in nursing homes to prevent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development of pressure ulcers. </w:t>
            </w:r>
            <w:r w:rsidR="001C3AFC" w:rsidRPr="006F2872">
              <w:rPr>
                <w:rFonts w:ascii="Times New Roman" w:hAnsi="Times New Roman" w:cs="Times New Roman"/>
                <w:sz w:val="24"/>
                <w:szCs w:val="24"/>
              </w:rPr>
              <w:t>The study findings also reveal that the care bundle facilitate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C3AF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C3AFC" w:rsidRPr="006F2872">
              <w:rPr>
                <w:rFonts w:ascii="Times New Roman" w:hAnsi="Times New Roman" w:cs="Times New Roman"/>
                <w:sz w:val="24"/>
                <w:szCs w:val="24"/>
              </w:rPr>
              <w:t>continuity of care and was easy to follow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AF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therefore </w:t>
            </w:r>
            <w:r w:rsidR="00D12166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critical to preventing pressure ulcers. </w:t>
            </w:r>
          </w:p>
        </w:tc>
        <w:tc>
          <w:tcPr>
            <w:tcW w:w="720" w:type="dxa"/>
            <w:shd w:val="clear" w:color="auto" w:fill="FFFF00"/>
          </w:tcPr>
          <w:p w14:paraId="4B013281" w14:textId="77777777" w:rsidR="005111EB" w:rsidRPr="006F2872" w:rsidRDefault="005111EB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FB6A77" w14:textId="6622A187" w:rsidR="00471971" w:rsidRPr="006F2872" w:rsidRDefault="00FD3F58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The study was small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scale and depended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self-reported behaviors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and participants knew their bedsore prevention behaviors w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ere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observed. </w:t>
            </w:r>
            <w:r w:rsidR="00471971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Another significant limitation of the study is </w:t>
            </w:r>
            <w:r w:rsidR="00471971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that it did not collect demographic data about participants receiving because of ethics approval requirements. </w:t>
            </w:r>
            <w:r w:rsidR="0081171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There were also poor adherence rates due to </w:t>
            </w:r>
            <w:r w:rsidR="0081171C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disagreements on the practices to be covered in the care bundle and understaffing. </w:t>
            </w:r>
          </w:p>
        </w:tc>
        <w:tc>
          <w:tcPr>
            <w:tcW w:w="1440" w:type="dxa"/>
          </w:tcPr>
          <w:p w14:paraId="53300469" w14:textId="4CF6F8E0" w:rsidR="005111EB" w:rsidRPr="006F2872" w:rsidRDefault="00996D75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This a level II evidence level quality. </w:t>
            </w:r>
            <w:r w:rsidR="00530A1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530A1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contains a </w:t>
            </w:r>
            <w:r w:rsidR="00087F84" w:rsidRPr="006F2872">
              <w:rPr>
                <w:rFonts w:ascii="Times New Roman" w:hAnsi="Times New Roman" w:cs="Times New Roman"/>
                <w:sz w:val="24"/>
                <w:szCs w:val="24"/>
              </w:rPr>
              <w:t>well-designed</w:t>
            </w:r>
            <w:r w:rsidR="00530A1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methodology that </w:t>
            </w:r>
            <w:r w:rsidR="00087F84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produces consistent results. </w:t>
            </w:r>
          </w:p>
        </w:tc>
      </w:tr>
      <w:tr w:rsidR="005111EB" w:rsidRPr="006F2872" w14:paraId="101F6296" w14:textId="77777777" w:rsidTr="00996D75">
        <w:trPr>
          <w:trHeight w:val="860"/>
        </w:trPr>
        <w:tc>
          <w:tcPr>
            <w:tcW w:w="694" w:type="dxa"/>
          </w:tcPr>
          <w:p w14:paraId="7564D72B" w14:textId="77777777" w:rsidR="005111EB" w:rsidRPr="006F2872" w:rsidRDefault="005111EB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882E" w14:textId="77777777" w:rsidR="00E05BAF" w:rsidRPr="006F2872" w:rsidRDefault="00E05BAF" w:rsidP="006F2872">
            <w:pPr>
              <w:pStyle w:val="TableParagraph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14:paraId="5B38146A" w14:textId="5889B676" w:rsidR="005111EB" w:rsidRPr="006F2872" w:rsidRDefault="00E4053A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Oe</w:t>
            </w:r>
            <w:proofErr w:type="spellEnd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al. (2020)</w:t>
            </w:r>
          </w:p>
        </w:tc>
        <w:tc>
          <w:tcPr>
            <w:tcW w:w="1022" w:type="dxa"/>
          </w:tcPr>
          <w:p w14:paraId="11742032" w14:textId="102AE3D3" w:rsidR="005111EB" w:rsidRPr="006F2872" w:rsidRDefault="0095624F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Randomized Clinical Trial</w:t>
            </w:r>
          </w:p>
        </w:tc>
        <w:tc>
          <w:tcPr>
            <w:tcW w:w="1752" w:type="dxa"/>
          </w:tcPr>
          <w:p w14:paraId="2F03D10B" w14:textId="5F631DCE" w:rsidR="005111EB" w:rsidRPr="006F2872" w:rsidRDefault="0095624F" w:rsidP="006F2872">
            <w:pPr>
              <w:pStyle w:val="TableParagraph"/>
              <w:tabs>
                <w:tab w:val="left" w:pos="1064"/>
              </w:tabs>
              <w:spacing w:line="480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The sample for the clinical trial 3018</w:t>
            </w:r>
            <w:r w:rsidR="001D4561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patients admitted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1D4561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D4561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hospital. </w:t>
            </w:r>
            <w:r w:rsidR="00417856" w:rsidRPr="006F2872">
              <w:rPr>
                <w:rFonts w:ascii="Times New Roman" w:hAnsi="Times New Roman" w:cs="Times New Roman"/>
                <w:sz w:val="24"/>
                <w:szCs w:val="24"/>
              </w:rPr>
              <w:t>The sample size was 600 patients</w:t>
            </w:r>
            <w:r w:rsidR="00CA056C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056C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n=300 each group (control group and intervention group).</w:t>
            </w:r>
            <w:r w:rsidR="007C5AD0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56C" w:rsidRPr="006F287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181F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he study was conducted in a hospital setting. </w:t>
            </w:r>
          </w:p>
        </w:tc>
        <w:tc>
          <w:tcPr>
            <w:tcW w:w="2600" w:type="dxa"/>
          </w:tcPr>
          <w:p w14:paraId="40775349" w14:textId="39F06CDD" w:rsidR="005111EB" w:rsidRPr="006F2872" w:rsidRDefault="005B1A92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study findings demonstrate that the preventative multi-layered silicone foam dressings effectively </w:t>
            </w:r>
            <w:r w:rsidR="00D93C4B" w:rsidRPr="006F2872">
              <w:rPr>
                <w:rFonts w:ascii="Times New Roman" w:hAnsi="Times New Roman" w:cs="Times New Roman"/>
                <w:sz w:val="24"/>
                <w:szCs w:val="24"/>
              </w:rPr>
              <w:t>prevent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development of pressure ulcers on the sacral and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coccygeal skin. The multilayer silicone foam dressings prevent shear and protect the fragile skin from developing wounds.</w:t>
            </w:r>
            <w:r w:rsidR="00E82FCD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Findings show the incidences of pressure ulcers significantly reduced in the intervention where the multilayer silicone foam was used because it </w:t>
            </w:r>
            <w:r w:rsidR="0040168E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prevents the effect of shear and friction.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FFFF00"/>
          </w:tcPr>
          <w:p w14:paraId="3CC2EB84" w14:textId="77777777" w:rsidR="005111EB" w:rsidRPr="006F2872" w:rsidRDefault="005111EB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D1F22F" w14:textId="2C14B5B4" w:rsidR="005111EB" w:rsidRPr="006F2872" w:rsidRDefault="006F2872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 w:rsidR="00817D0D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intervention group participants developed pressure ulcers whose </w:t>
            </w:r>
            <w:r w:rsidR="00817D0D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main cause is unclear or not known. </w:t>
            </w:r>
            <w:r w:rsidR="004A433F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The sample used in the study was small to consider other factors that could potentially contribute to the development of pressure </w:t>
            </w:r>
            <w:r w:rsidR="004A433F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ulcers. </w:t>
            </w:r>
          </w:p>
        </w:tc>
        <w:tc>
          <w:tcPr>
            <w:tcW w:w="1440" w:type="dxa"/>
          </w:tcPr>
          <w:p w14:paraId="3D44B6A3" w14:textId="158AB99E" w:rsidR="005111EB" w:rsidRPr="006F2872" w:rsidRDefault="006947FD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study is a level I evidence level quality. </w:t>
            </w:r>
            <w:r w:rsidR="00A16DA6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The randomized clinical trial is well designed </w:t>
            </w:r>
            <w:r w:rsidR="00FE06BB"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therefore providing good quality results. </w:t>
            </w:r>
          </w:p>
        </w:tc>
      </w:tr>
      <w:tr w:rsidR="005111EB" w:rsidRPr="006F2872" w14:paraId="6DECB0AF" w14:textId="77777777" w:rsidTr="00996D75">
        <w:trPr>
          <w:trHeight w:val="860"/>
        </w:trPr>
        <w:tc>
          <w:tcPr>
            <w:tcW w:w="694" w:type="dxa"/>
          </w:tcPr>
          <w:p w14:paraId="1F15C007" w14:textId="77777777" w:rsidR="005111EB" w:rsidRPr="006F2872" w:rsidRDefault="005111EB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947A" w14:textId="77777777" w:rsidR="00E05BAF" w:rsidRPr="006F2872" w:rsidRDefault="00E05BAF" w:rsidP="006F2872">
            <w:pPr>
              <w:pStyle w:val="TableParagraph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14:paraId="3370CE2F" w14:textId="772466D4" w:rsidR="005111EB" w:rsidRPr="006F2872" w:rsidRDefault="002A5CC4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Hahnel</w:t>
            </w:r>
            <w:proofErr w:type="spellEnd"/>
            <w:r w:rsidRPr="006F28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et al. (2020)</w:t>
            </w:r>
          </w:p>
        </w:tc>
        <w:tc>
          <w:tcPr>
            <w:tcW w:w="1022" w:type="dxa"/>
          </w:tcPr>
          <w:p w14:paraId="09A2ADF4" w14:textId="16637AEE" w:rsidR="005111EB" w:rsidRPr="006F2872" w:rsidRDefault="002A5CC4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Randomized control pragmatic study</w:t>
            </w:r>
          </w:p>
        </w:tc>
        <w:tc>
          <w:tcPr>
            <w:tcW w:w="1752" w:type="dxa"/>
          </w:tcPr>
          <w:p w14:paraId="0B988185" w14:textId="318B73DD" w:rsidR="005111EB" w:rsidRPr="006F2872" w:rsidRDefault="006256A1" w:rsidP="006F2872">
            <w:pPr>
              <w:pStyle w:val="TableParagraph"/>
              <w:tabs>
                <w:tab w:val="left" w:pos="1064"/>
              </w:tabs>
              <w:spacing w:line="480" w:lineRule="auto"/>
              <w:ind w:right="1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sample size for the study was </w:t>
            </w:r>
            <w:r w:rsidR="00ED0329" w:rsidRPr="006F2872">
              <w:rPr>
                <w:rFonts w:ascii="Times New Roman" w:hAnsi="Times New Roman" w:cs="Times New Roman"/>
                <w:bCs/>
                <w:sz w:val="24"/>
                <w:szCs w:val="24"/>
              </w:rPr>
              <w:t>422</w:t>
            </w:r>
            <w:r w:rsidRPr="006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participants. </w:t>
            </w:r>
            <w:r w:rsidR="00ED0329" w:rsidRPr="006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study setting was a tertiary care hospital. </w:t>
            </w:r>
          </w:p>
        </w:tc>
        <w:tc>
          <w:tcPr>
            <w:tcW w:w="2600" w:type="dxa"/>
          </w:tcPr>
          <w:p w14:paraId="74AD7F17" w14:textId="4DE8A4F9" w:rsidR="005111EB" w:rsidRPr="006F2872" w:rsidRDefault="00DB62BF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The study findings show a decrease in pressure ulcer incidences after application of the intervention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which reveals the effectiveness of preventive silicone foam dressing in preventing pressure ulcers in intensive care unite patients. </w:t>
            </w:r>
          </w:p>
        </w:tc>
        <w:tc>
          <w:tcPr>
            <w:tcW w:w="720" w:type="dxa"/>
            <w:shd w:val="clear" w:color="auto" w:fill="FFFF00"/>
          </w:tcPr>
          <w:p w14:paraId="3EF182E7" w14:textId="77777777" w:rsidR="005111EB" w:rsidRPr="006F2872" w:rsidRDefault="005111EB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37A0F9" w14:textId="4AF89C0B" w:rsidR="005111EB" w:rsidRPr="006F2872" w:rsidRDefault="00ED0329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>The limitation of the study include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detection and performance bias as the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 was no randomized allocation of study procedures. Participants and study </w:t>
            </w: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personal were also not blinded to these procedures.  </w:t>
            </w:r>
          </w:p>
        </w:tc>
        <w:tc>
          <w:tcPr>
            <w:tcW w:w="1440" w:type="dxa"/>
          </w:tcPr>
          <w:p w14:paraId="3B274E1E" w14:textId="710DCD6E" w:rsidR="005111EB" w:rsidRPr="006F2872" w:rsidRDefault="00BD4016" w:rsidP="006F2872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study is a high level I evidence level quality. </w:t>
            </w:r>
            <w:r w:rsidR="0000651A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It is well designed with </w:t>
            </w:r>
            <w:r w:rsidR="006F287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0651A" w:rsidRPr="006F2872">
              <w:rPr>
                <w:rFonts w:ascii="Times New Roman" w:hAnsi="Times New Roman" w:cs="Times New Roman"/>
                <w:sz w:val="24"/>
                <w:szCs w:val="24"/>
              </w:rPr>
              <w:t xml:space="preserve">randomization study. </w:t>
            </w:r>
          </w:p>
        </w:tc>
      </w:tr>
    </w:tbl>
    <w:p w14:paraId="2C4316F9" w14:textId="1E8DB0E9" w:rsidR="00BD4016" w:rsidRPr="006F2872" w:rsidRDefault="00E05BAF" w:rsidP="006F2872">
      <w:pPr>
        <w:spacing w:before="155" w:line="480" w:lineRule="auto"/>
        <w:ind w:left="121"/>
        <w:rPr>
          <w:rFonts w:ascii="Times New Roman" w:hAnsi="Times New Roman" w:cs="Times New Roman"/>
          <w:color w:val="FF0000"/>
          <w:sz w:val="24"/>
          <w:szCs w:val="24"/>
        </w:rPr>
      </w:pPr>
      <w:r w:rsidRPr="006F2872">
        <w:rPr>
          <w:rFonts w:ascii="Times New Roman" w:hAnsi="Times New Roman" w:cs="Times New Roman"/>
          <w:color w:val="231F20"/>
          <w:sz w:val="24"/>
          <w:szCs w:val="24"/>
        </w:rPr>
        <w:t>Include</w:t>
      </w:r>
      <w:r w:rsidR="006A3A54" w:rsidRPr="006F2872">
        <w:rPr>
          <w:rFonts w:ascii="Times New Roman" w:hAnsi="Times New Roman" w:cs="Times New Roman"/>
          <w:color w:val="231F20"/>
          <w:sz w:val="24"/>
          <w:szCs w:val="24"/>
        </w:rPr>
        <w:t xml:space="preserve"> a </w:t>
      </w:r>
      <w:r w:rsidR="006A3A54" w:rsidRPr="006F2872">
        <w:rPr>
          <w:rFonts w:ascii="Times New Roman" w:hAnsi="Times New Roman" w:cs="Times New Roman"/>
          <w:sz w:val="24"/>
          <w:szCs w:val="24"/>
        </w:rPr>
        <w:t>reference li</w:t>
      </w:r>
      <w:r w:rsidRPr="006F2872">
        <w:rPr>
          <w:rFonts w:ascii="Times New Roman" w:hAnsi="Times New Roman" w:cs="Times New Roman"/>
          <w:sz w:val="24"/>
          <w:szCs w:val="24"/>
        </w:rPr>
        <w:t xml:space="preserve">st here of </w:t>
      </w:r>
      <w:r w:rsidR="006A3A54" w:rsidRPr="006F2872">
        <w:rPr>
          <w:rFonts w:ascii="Times New Roman" w:hAnsi="Times New Roman" w:cs="Times New Roman"/>
          <w:sz w:val="24"/>
          <w:szCs w:val="24"/>
        </w:rPr>
        <w:t xml:space="preserve">articles reviewed for this EBP </w:t>
      </w:r>
      <w:proofErr w:type="gramStart"/>
      <w:r w:rsidR="006A3A54" w:rsidRPr="006F2872">
        <w:rPr>
          <w:rFonts w:ascii="Times New Roman" w:hAnsi="Times New Roman" w:cs="Times New Roman"/>
          <w:sz w:val="24"/>
          <w:szCs w:val="24"/>
        </w:rPr>
        <w:t>question</w:t>
      </w:r>
      <w:r w:rsidRPr="006F287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F2872">
        <w:rPr>
          <w:rFonts w:ascii="Times New Roman" w:hAnsi="Times New Roman" w:cs="Times New Roman"/>
          <w:sz w:val="24"/>
          <w:szCs w:val="24"/>
        </w:rPr>
        <w:t>5 points). Upload all 3 articles when submitting assignment (10 points).</w:t>
      </w:r>
    </w:p>
    <w:p w14:paraId="3CC8A892" w14:textId="77777777" w:rsidR="00BD4016" w:rsidRPr="006F2872" w:rsidRDefault="00BD4016" w:rsidP="006F2872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F287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CE7674E" w14:textId="77777777" w:rsidR="005111EB" w:rsidRPr="006F2872" w:rsidRDefault="00BD4016" w:rsidP="006F28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87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779AA030" w14:textId="77777777" w:rsidR="00E963B9" w:rsidRPr="006F2872" w:rsidRDefault="00E963B9" w:rsidP="006F28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Hahnel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El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Genedy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Tomova‐Simitchieva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Hauß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Stroux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Lechner, A., ... &amp;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Kottner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(2020). The effectiveness of two silicone dressings for sacral and heel pressure ulcer prevention compared with no dressings in high‐risk intensive care unit patients: a randomized controlled parallel‐group trial.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Dermatology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183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256-264.</w:t>
      </w:r>
    </w:p>
    <w:p w14:paraId="57EDD82D" w14:textId="77777777" w:rsidR="00E963B9" w:rsidRPr="006F2872" w:rsidRDefault="00E963B9" w:rsidP="006F287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Oe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Sasaki, S., Shimura, T., Takaki, Y., &amp;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Sanada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(2020). Effects of Multilayer Silicone Foam Dressings for the Prevention of Pressure Ulcers in High-Risk Patients: A Randomized Clinical Trial.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Wound Care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649-656.</w:t>
      </w:r>
    </w:p>
    <w:p w14:paraId="5372099E" w14:textId="7FD0F96E" w:rsidR="00E963B9" w:rsidRPr="006F2872" w:rsidRDefault="00E963B9" w:rsidP="006F28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  <w:sectPr w:rsidR="00E963B9" w:rsidRPr="006F2872" w:rsidSect="004F4E5E">
          <w:headerReference w:type="default" r:id="rId7"/>
          <w:footerReference w:type="default" r:id="rId8"/>
          <w:pgSz w:w="13100" w:h="10600" w:orient="landscape"/>
          <w:pgMar w:top="0" w:right="1400" w:bottom="280" w:left="900" w:header="540" w:footer="720" w:gutter="0"/>
          <w:cols w:space="720"/>
        </w:sectPr>
      </w:pP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Lavallée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F., Gray, T. A., </w:t>
      </w:r>
      <w:proofErr w:type="spellStart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Dumville</w:t>
      </w:r>
      <w:proofErr w:type="spellEnd"/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Cullum, N. (2019). Preventing pressure ulcers in nursing homes using a care bundle: A feasibility study.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&amp; social care in the community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287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6F28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e417-e42</w:t>
      </w:r>
    </w:p>
    <w:p w14:paraId="3497FB81" w14:textId="65A261A0" w:rsidR="005111EB" w:rsidRPr="006F2872" w:rsidRDefault="005111EB" w:rsidP="006F2872">
      <w:pPr>
        <w:spacing w:before="202" w:line="480" w:lineRule="auto"/>
        <w:rPr>
          <w:rFonts w:ascii="Times New Roman" w:hAnsi="Times New Roman" w:cs="Times New Roman"/>
          <w:sz w:val="24"/>
          <w:szCs w:val="24"/>
        </w:rPr>
      </w:pPr>
    </w:p>
    <w:sectPr w:rsidR="005111EB" w:rsidRPr="006F2872" w:rsidSect="004F4E5E">
      <w:pgSz w:w="10600" w:h="13100"/>
      <w:pgMar w:top="64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E8C4" w14:textId="77777777" w:rsidR="00FE0271" w:rsidRDefault="00FE0271" w:rsidP="004F4E5E">
      <w:r>
        <w:separator/>
      </w:r>
    </w:p>
  </w:endnote>
  <w:endnote w:type="continuationSeparator" w:id="0">
    <w:p w14:paraId="23541CB0" w14:textId="77777777" w:rsidR="00FE0271" w:rsidRDefault="00FE0271" w:rsidP="004F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638A" w14:textId="77777777" w:rsidR="004F4E5E" w:rsidRPr="004F4E5E" w:rsidRDefault="004F4E5E" w:rsidP="004F4E5E">
    <w:pPr>
      <w:pStyle w:val="Footer"/>
      <w:tabs>
        <w:tab w:val="left" w:pos="8640"/>
      </w:tabs>
      <w:jc w:val="center"/>
      <w:rPr>
        <w:rFonts w:ascii="Calibri" w:eastAsia="Calibri" w:hAnsi="Calibri" w:cs="Times New Roman"/>
        <w:sz w:val="16"/>
        <w:szCs w:val="16"/>
      </w:rPr>
    </w:pPr>
    <w:r w:rsidRPr="004F4E5E">
      <w:rPr>
        <w:rFonts w:ascii="Calibri" w:eastAsia="Calibri" w:hAnsi="Calibri" w:cs="Times New Roman"/>
        <w:sz w:val="16"/>
        <w:szCs w:val="16"/>
      </w:rPr>
      <w:sym w:font="Symbol" w:char="F0D3"/>
    </w:r>
    <w:r w:rsidRPr="004F4E5E">
      <w:rPr>
        <w:rFonts w:ascii="Calibri" w:eastAsia="Calibri" w:hAnsi="Calibri" w:cs="Times New Roman"/>
        <w:sz w:val="16"/>
        <w:szCs w:val="16"/>
      </w:rPr>
      <w:t xml:space="preserve"> The Johns Hopkins Hospital/ The Johns Hopkins University</w:t>
    </w:r>
  </w:p>
  <w:p w14:paraId="10596247" w14:textId="77777777" w:rsidR="004F4E5E" w:rsidRDefault="00857584" w:rsidP="004F4E5E">
    <w:pPr>
      <w:pStyle w:val="Footer"/>
      <w:jc w:val="center"/>
    </w:pPr>
    <w:r>
      <w:fldChar w:fldCharType="begin"/>
    </w:r>
    <w:r w:rsidR="004F4E5E">
      <w:instrText xml:space="preserve"> PAGE   \* MERGEFORMAT </w:instrText>
    </w:r>
    <w:r>
      <w:fldChar w:fldCharType="separate"/>
    </w:r>
    <w:r w:rsidR="00EE70C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33BAB" w14:textId="77777777" w:rsidR="00FE0271" w:rsidRDefault="00FE0271" w:rsidP="004F4E5E">
      <w:r>
        <w:separator/>
      </w:r>
    </w:p>
  </w:footnote>
  <w:footnote w:type="continuationSeparator" w:id="0">
    <w:p w14:paraId="089D02B9" w14:textId="77777777" w:rsidR="00FE0271" w:rsidRDefault="00FE0271" w:rsidP="004F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2146" w14:textId="77777777" w:rsidR="004F4E5E" w:rsidRPr="004F4E5E" w:rsidRDefault="004F4E5E" w:rsidP="004F4E5E">
    <w:pPr>
      <w:pStyle w:val="Header"/>
      <w:jc w:val="center"/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</w:pPr>
    <w:r w:rsidRPr="004F4E5E"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  <w:t>Johns Hopkins Nursing Evidence-Based Practice</w:t>
    </w:r>
  </w:p>
  <w:p w14:paraId="7487401C" w14:textId="75A11428" w:rsidR="004F4E5E" w:rsidRPr="004F4E5E" w:rsidRDefault="004F4E5E" w:rsidP="004F4E5E">
    <w:pPr>
      <w:widowControl/>
      <w:tabs>
        <w:tab w:val="center" w:pos="4320"/>
        <w:tab w:val="right" w:pos="8640"/>
      </w:tabs>
      <w:autoSpaceDE/>
      <w:autoSpaceDN/>
      <w:jc w:val="center"/>
      <w:rPr>
        <w:rFonts w:ascii="Arial" w:eastAsia="Calibri" w:hAnsi="Arial" w:cs="Arial"/>
        <w:b/>
        <w:color w:val="0D0D0D" w:themeColor="text1" w:themeTint="F2"/>
        <w:sz w:val="28"/>
        <w:szCs w:val="28"/>
      </w:rPr>
    </w:pPr>
    <w:r w:rsidRPr="004F4E5E"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  <w:t>Appendix G: Individual Evidence Summary</w:t>
    </w:r>
    <w:r w:rsidR="00FC6B7D"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  <w:t xml:space="preserve"> </w:t>
    </w:r>
    <w:r w:rsidRPr="004F4E5E">
      <w:rPr>
        <w:rFonts w:ascii="Arial" w:eastAsia="Calibri" w:hAnsi="Arial" w:cs="Arial"/>
        <w:b/>
        <w:color w:val="0D0D0D" w:themeColor="text1" w:themeTint="F2"/>
        <w:sz w:val="28"/>
        <w:szCs w:val="28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0F5"/>
    <w:multiLevelType w:val="hybridMultilevel"/>
    <w:tmpl w:val="581C8842"/>
    <w:lvl w:ilvl="0" w:tplc="B6C2A2B2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2FC4BADC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68EC1B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C08CF82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33EE5FE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C46AC9F8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C55600F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B8A442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F118C998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1" w15:restartNumberingAfterBreak="0">
    <w:nsid w:val="0F403407"/>
    <w:multiLevelType w:val="hybridMultilevel"/>
    <w:tmpl w:val="53DEE486"/>
    <w:lvl w:ilvl="0" w:tplc="6FB86F3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1D0E74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F088512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F4E34C8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F383FA4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B7EA954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6F8CD878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2FB49952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813AFAEC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2" w15:restartNumberingAfterBreak="0">
    <w:nsid w:val="59014A1D"/>
    <w:multiLevelType w:val="hybridMultilevel"/>
    <w:tmpl w:val="FC5287BA"/>
    <w:lvl w:ilvl="0" w:tplc="8D1E64B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8E0C09A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7B20023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B24C7E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0E07928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9AA678E2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1C28958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4824D4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1ACA28A6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3" w15:restartNumberingAfterBreak="0">
    <w:nsid w:val="6CC175D2"/>
    <w:multiLevelType w:val="hybridMultilevel"/>
    <w:tmpl w:val="B314B2B2"/>
    <w:lvl w:ilvl="0" w:tplc="E8604A9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A6127C90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D9436D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44E0C7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7072556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2AAC80E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AFE8DDF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965CB7E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9C806682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4" w15:restartNumberingAfterBreak="0">
    <w:nsid w:val="77EB437D"/>
    <w:multiLevelType w:val="hybridMultilevel"/>
    <w:tmpl w:val="9852E656"/>
    <w:lvl w:ilvl="0" w:tplc="F1D0634E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7C6AA74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8928D5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06278E0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388287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59AD61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F6B2BA2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C2329CA4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EEF0FB5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5" w15:restartNumberingAfterBreak="0">
    <w:nsid w:val="7AFE3A80"/>
    <w:multiLevelType w:val="hybridMultilevel"/>
    <w:tmpl w:val="0F0EDAE0"/>
    <w:lvl w:ilvl="0" w:tplc="83BAF80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8A08D3E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A624B6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B3044E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21203C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61A8D19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31260750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F578A18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37EA8DD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6" w15:restartNumberingAfterBreak="0">
    <w:nsid w:val="7F246325"/>
    <w:multiLevelType w:val="hybridMultilevel"/>
    <w:tmpl w:val="A1BE8770"/>
    <w:lvl w:ilvl="0" w:tplc="3364FC1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BCA49292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692F1F6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23F858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56271DC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86445C6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5CA24B2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E92CBC8A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B566A49E">
      <w:numFmt w:val="bullet"/>
      <w:lvlText w:val="•"/>
      <w:lvlJc w:val="left"/>
      <w:pPr>
        <w:ind w:left="1351" w:hanging="16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CyMDc3NzA0tDAwtjBU0lEKTi0uzszPAykwrAUAxpOjUywAAAA="/>
  </w:docVars>
  <w:rsids>
    <w:rsidRoot w:val="005111EB"/>
    <w:rsid w:val="0000651A"/>
    <w:rsid w:val="00087F84"/>
    <w:rsid w:val="000E46D5"/>
    <w:rsid w:val="001C3AFC"/>
    <w:rsid w:val="001D4561"/>
    <w:rsid w:val="002A5CC4"/>
    <w:rsid w:val="0040168E"/>
    <w:rsid w:val="00417856"/>
    <w:rsid w:val="004553AB"/>
    <w:rsid w:val="00471971"/>
    <w:rsid w:val="004A433F"/>
    <w:rsid w:val="004F4E5E"/>
    <w:rsid w:val="005111EB"/>
    <w:rsid w:val="00530A1C"/>
    <w:rsid w:val="005B1A92"/>
    <w:rsid w:val="005F3BF9"/>
    <w:rsid w:val="006256A1"/>
    <w:rsid w:val="0066565E"/>
    <w:rsid w:val="006909B5"/>
    <w:rsid w:val="006947FD"/>
    <w:rsid w:val="006A3A54"/>
    <w:rsid w:val="006A5363"/>
    <w:rsid w:val="006D404F"/>
    <w:rsid w:val="006F2872"/>
    <w:rsid w:val="0071181F"/>
    <w:rsid w:val="007162AB"/>
    <w:rsid w:val="007C5AD0"/>
    <w:rsid w:val="007F4CD8"/>
    <w:rsid w:val="0081171C"/>
    <w:rsid w:val="00817D0D"/>
    <w:rsid w:val="00850276"/>
    <w:rsid w:val="00857584"/>
    <w:rsid w:val="008C2B97"/>
    <w:rsid w:val="0095624F"/>
    <w:rsid w:val="00996D75"/>
    <w:rsid w:val="009D36A9"/>
    <w:rsid w:val="00A16DA6"/>
    <w:rsid w:val="00B50B76"/>
    <w:rsid w:val="00B84340"/>
    <w:rsid w:val="00BD4016"/>
    <w:rsid w:val="00CA056C"/>
    <w:rsid w:val="00CF2BF9"/>
    <w:rsid w:val="00D028A1"/>
    <w:rsid w:val="00D12166"/>
    <w:rsid w:val="00D93C4B"/>
    <w:rsid w:val="00DB62BF"/>
    <w:rsid w:val="00DB678A"/>
    <w:rsid w:val="00DE0C7B"/>
    <w:rsid w:val="00E05BAF"/>
    <w:rsid w:val="00E4053A"/>
    <w:rsid w:val="00E82FCD"/>
    <w:rsid w:val="00E963B9"/>
    <w:rsid w:val="00ED0329"/>
    <w:rsid w:val="00EE70C4"/>
    <w:rsid w:val="00FC6B7D"/>
    <w:rsid w:val="00FD3F58"/>
    <w:rsid w:val="00FE0271"/>
    <w:rsid w:val="00FE0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82B96E"/>
  <w15:docId w15:val="{46B11E56-7018-4937-BF08-825C121A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7584"/>
    <w:rPr>
      <w:rFonts w:ascii="Century" w:eastAsia="Century" w:hAnsi="Century" w:cs="Century"/>
    </w:rPr>
  </w:style>
  <w:style w:type="paragraph" w:styleId="Heading1">
    <w:name w:val="heading 1"/>
    <w:basedOn w:val="Normal"/>
    <w:uiPriority w:val="1"/>
    <w:qFormat/>
    <w:rsid w:val="00857584"/>
    <w:pPr>
      <w:ind w:left="157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7584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857584"/>
  </w:style>
  <w:style w:type="paragraph" w:customStyle="1" w:styleId="TableParagraph">
    <w:name w:val="Table Paragraph"/>
    <w:basedOn w:val="Normal"/>
    <w:uiPriority w:val="1"/>
    <w:qFormat/>
    <w:rsid w:val="00857584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4F4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5E"/>
    <w:rPr>
      <w:rFonts w:ascii="Century" w:eastAsia="Century" w:hAnsi="Century" w:cs="Century"/>
    </w:rPr>
  </w:style>
  <w:style w:type="paragraph" w:styleId="Footer">
    <w:name w:val="footer"/>
    <w:basedOn w:val="Normal"/>
    <w:link w:val="FooterChar"/>
    <w:uiPriority w:val="99"/>
    <w:unhideWhenUsed/>
    <w:rsid w:val="004F4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5E"/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Bissett</dc:creator>
  <cp:lastModifiedBy>Brian Magare</cp:lastModifiedBy>
  <cp:revision>34</cp:revision>
  <dcterms:created xsi:type="dcterms:W3CDTF">2021-02-20T10:23:00Z</dcterms:created>
  <dcterms:modified xsi:type="dcterms:W3CDTF">2021-02-20T13:01:00Z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2017-09-08T00:00:00Z</vt:filetime>
  </property>
</Properties>
</file>